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A0" w:rsidRDefault="009D5164">
      <w:pPr>
        <w:rPr>
          <w:b/>
          <w:bCs/>
          <w:caps/>
        </w:rPr>
      </w:pPr>
      <w:bookmarkStart w:id="0" w:name="_GoBack"/>
      <w:bookmarkEnd w:id="0"/>
      <w:r>
        <w:rPr>
          <w:rStyle w:val="a6"/>
        </w:rPr>
        <w:t xml:space="preserve">                         </w:t>
      </w:r>
    </w:p>
    <w:p w:rsidR="002C58A0" w:rsidRDefault="009D5164">
      <w:pPr>
        <w:rPr>
          <w:b/>
          <w:bCs/>
          <w:caps/>
        </w:rPr>
      </w:pPr>
      <w:r>
        <w:rPr>
          <w:b/>
          <w:bCs/>
          <w:caps/>
        </w:rPr>
        <w:t xml:space="preserve"> </w:t>
      </w:r>
      <w:r>
        <w:rPr>
          <w:b/>
          <w:bCs/>
          <w:caps/>
          <w:noProof/>
        </w:rPr>
        <w:drawing>
          <wp:inline distT="0" distB="0" distL="0" distR="0">
            <wp:extent cx="812800" cy="579755"/>
            <wp:effectExtent l="0" t="0" r="0" b="0"/>
            <wp:docPr id="1073741827" name="officeArt object" descr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fficeArt object" descr="Рисунок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5802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bCs/>
          <w:caps/>
        </w:rPr>
        <w:t xml:space="preserve">  </w:t>
      </w:r>
      <w:r>
        <w:rPr>
          <w:b/>
          <w:bCs/>
          <w:caps/>
          <w:noProof/>
        </w:rPr>
        <w:drawing>
          <wp:inline distT="0" distB="0" distL="0" distR="0">
            <wp:extent cx="478155" cy="587375"/>
            <wp:effectExtent l="0" t="0" r="0" b="0"/>
            <wp:docPr id="1073741828" name="officeArt object" descr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officeArt object" descr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8156" cy="5879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bCs/>
          <w:caps/>
        </w:rPr>
        <w:t xml:space="preserve">   </w:t>
      </w:r>
      <w:r>
        <w:rPr>
          <w:b/>
          <w:bCs/>
          <w:caps/>
          <w:noProof/>
        </w:rPr>
        <w:drawing>
          <wp:inline distT="0" distB="0" distL="0" distR="0">
            <wp:extent cx="1539875" cy="454660"/>
            <wp:effectExtent l="0" t="0" r="0" b="0"/>
            <wp:docPr id="1073741829" name="officeArt object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officeArt object" descr="Рисунок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0438" cy="4546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bCs/>
          <w:caps/>
        </w:rPr>
        <w:t xml:space="preserve">   </w:t>
      </w:r>
      <w:r>
        <w:rPr>
          <w:b/>
          <w:bCs/>
          <w:caps/>
          <w:noProof/>
        </w:rPr>
        <w:drawing>
          <wp:inline distT="0" distB="0" distL="0" distR="0">
            <wp:extent cx="1437640" cy="473075"/>
            <wp:effectExtent l="0" t="0" r="0" b="0"/>
            <wp:docPr id="1073741830" name="officeArt object" descr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officeArt object" descr="Рисунок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37891" cy="473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bCs/>
          <w:caps/>
        </w:rPr>
        <w:t xml:space="preserve">  </w:t>
      </w:r>
      <w:r>
        <w:rPr>
          <w:b/>
          <w:bCs/>
          <w:caps/>
          <w:noProof/>
        </w:rPr>
        <w:drawing>
          <wp:inline distT="0" distB="0" distL="0" distR="0">
            <wp:extent cx="1314450" cy="478790"/>
            <wp:effectExtent l="0" t="0" r="0" b="0"/>
            <wp:docPr id="1073741831" name="officeArt object" descr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officeArt object" descr="Рисунок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15057" cy="4787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C58A0" w:rsidRPr="00DC4ED4" w:rsidRDefault="002C58A0">
      <w:pPr>
        <w:jc w:val="center"/>
        <w:rPr>
          <w:b/>
          <w:bCs/>
          <w:caps/>
          <w:sz w:val="24"/>
          <w:szCs w:val="24"/>
        </w:rPr>
      </w:pPr>
    </w:p>
    <w:p w:rsidR="002C58A0" w:rsidRPr="00DC4ED4" w:rsidRDefault="002C58A0">
      <w:pPr>
        <w:jc w:val="center"/>
        <w:rPr>
          <w:b/>
          <w:bCs/>
          <w:caps/>
          <w:sz w:val="24"/>
          <w:szCs w:val="24"/>
        </w:rPr>
      </w:pPr>
    </w:p>
    <w:p w:rsidR="002C58A0" w:rsidRDefault="009D5164">
      <w:pPr>
        <w:jc w:val="center"/>
        <w:rPr>
          <w:b/>
          <w:bCs/>
          <w:caps/>
          <w:color w:val="006600"/>
          <w:sz w:val="32"/>
          <w:szCs w:val="32"/>
          <w:u w:color="006600"/>
        </w:rPr>
      </w:pPr>
      <w:r>
        <w:rPr>
          <w:b/>
          <w:bCs/>
          <w:caps/>
          <w:color w:val="006600"/>
          <w:sz w:val="32"/>
          <w:szCs w:val="32"/>
          <w:u w:color="006600"/>
        </w:rPr>
        <w:t xml:space="preserve">Второй международный форум </w:t>
      </w:r>
    </w:p>
    <w:p w:rsidR="002C58A0" w:rsidRDefault="009D5164">
      <w:pPr>
        <w:jc w:val="center"/>
        <w:rPr>
          <w:caps/>
          <w:color w:val="006600"/>
          <w:sz w:val="32"/>
          <w:szCs w:val="32"/>
          <w:u w:color="006600"/>
        </w:rPr>
      </w:pPr>
      <w:r>
        <w:rPr>
          <w:b/>
          <w:bCs/>
          <w:caps/>
          <w:color w:val="006600"/>
          <w:sz w:val="32"/>
          <w:szCs w:val="32"/>
          <w:u w:color="006600"/>
        </w:rPr>
        <w:t>«Устойчивое развитие горных территорий»</w:t>
      </w:r>
    </w:p>
    <w:p w:rsidR="002C58A0" w:rsidRPr="00DC4ED4" w:rsidRDefault="002C58A0">
      <w:pPr>
        <w:ind w:left="360" w:firstLine="708"/>
        <w:jc w:val="both"/>
        <w:rPr>
          <w:rStyle w:val="a6"/>
          <w:sz w:val="24"/>
          <w:szCs w:val="24"/>
        </w:rPr>
      </w:pPr>
    </w:p>
    <w:p w:rsidR="002C58A0" w:rsidRDefault="009D5164">
      <w:pPr>
        <w:ind w:firstLine="709"/>
        <w:jc w:val="both"/>
        <w:rPr>
          <w:rStyle w:val="a6"/>
        </w:rPr>
      </w:pPr>
      <w:proofErr w:type="gramStart"/>
      <w:r>
        <w:rPr>
          <w:rStyle w:val="a6"/>
        </w:rPr>
        <w:t>1–3 октября 2025 года в Махачкал</w:t>
      </w:r>
      <w:r w:rsidR="00E911FA">
        <w:rPr>
          <w:rStyle w:val="a6"/>
        </w:rPr>
        <w:t>е</w:t>
      </w:r>
      <w:r>
        <w:rPr>
          <w:rStyle w:val="a6"/>
        </w:rPr>
        <w:t xml:space="preserve"> (Республика Дагестан, Российская Федерация) Межпарламентская Ассамблея государств — участников СНГ, Совет Федерации Федерального Собрания Российской Федерации, Правительство Республики Дагестан, Российская академия наук, Общественная палата Российской Федерации проводят второй международный форум «Устойчивое развитие горных территорий» на тему «Роль муниципалитетов </w:t>
      </w:r>
      <w:r w:rsidR="005A6267" w:rsidRPr="005A6267">
        <w:rPr>
          <w:rStyle w:val="a6"/>
        </w:rPr>
        <w:br/>
      </w:r>
      <w:r>
        <w:rPr>
          <w:rStyle w:val="a6"/>
        </w:rPr>
        <w:t>в принятии экологически значимых решений в сфере устойчивого развития горных территорий».</w:t>
      </w:r>
      <w:proofErr w:type="gramEnd"/>
      <w:r>
        <w:rPr>
          <w:rStyle w:val="a6"/>
        </w:rPr>
        <w:t xml:space="preserve"> Партнеры форума: Благотворительный фонд «Возрождение природы», Испол</w:t>
      </w:r>
      <w:r w:rsidR="00E911FA">
        <w:rPr>
          <w:rStyle w:val="a6"/>
        </w:rPr>
        <w:t xml:space="preserve">нительный </w:t>
      </w:r>
      <w:r>
        <w:rPr>
          <w:rStyle w:val="a6"/>
        </w:rPr>
        <w:t>ком</w:t>
      </w:r>
      <w:r w:rsidR="00E911FA">
        <w:rPr>
          <w:rStyle w:val="a6"/>
        </w:rPr>
        <w:t>итет</w:t>
      </w:r>
      <w:r>
        <w:rPr>
          <w:rStyle w:val="a6"/>
        </w:rPr>
        <w:t xml:space="preserve"> СНГ, МГИМО МИД России.</w:t>
      </w:r>
    </w:p>
    <w:p w:rsidR="002C58A0" w:rsidRDefault="009D5164">
      <w:pPr>
        <w:ind w:firstLine="709"/>
        <w:jc w:val="both"/>
        <w:rPr>
          <w:rStyle w:val="a6"/>
        </w:rPr>
      </w:pPr>
      <w:r>
        <w:rPr>
          <w:rStyle w:val="a6"/>
        </w:rPr>
        <w:t xml:space="preserve">Цель форума — разработка механизмов адаптации к климатическим </w:t>
      </w:r>
      <w:r w:rsidR="005A6267" w:rsidRPr="005A6267">
        <w:rPr>
          <w:rStyle w:val="a6"/>
        </w:rPr>
        <w:br/>
      </w:r>
      <w:r>
        <w:rPr>
          <w:rStyle w:val="a6"/>
        </w:rPr>
        <w:t xml:space="preserve">и социально-экономическим изменениям, повышение роли муниципалитетов </w:t>
      </w:r>
      <w:r w:rsidR="005A6267" w:rsidRPr="005A6267">
        <w:rPr>
          <w:rStyle w:val="a6"/>
        </w:rPr>
        <w:br/>
      </w:r>
      <w:r>
        <w:rPr>
          <w:rStyle w:val="a6"/>
        </w:rPr>
        <w:t xml:space="preserve">в формировании программ устойчивого развития горных территорий. </w:t>
      </w:r>
    </w:p>
    <w:p w:rsidR="002C58A0" w:rsidRDefault="009D5164">
      <w:pPr>
        <w:ind w:firstLine="709"/>
        <w:jc w:val="both"/>
        <w:rPr>
          <w:rStyle w:val="a6"/>
        </w:rPr>
      </w:pPr>
      <w:r>
        <w:rPr>
          <w:rStyle w:val="a6"/>
        </w:rPr>
        <w:t>В деловую программу мероприятия войдут пленарное заседание, тематические круглые столы и мастер-классы. Участниками дискуссий станут представители исполнительных и законодательных органов власти, деловых кругов, образовательных и научно-исследовательских учреждений, средств массовой информации, об</w:t>
      </w:r>
      <w:r w:rsidR="00DC4ED4">
        <w:rPr>
          <w:rStyle w:val="a6"/>
        </w:rPr>
        <w:t>щественных объединений из разных стран мира</w:t>
      </w:r>
      <w:r>
        <w:rPr>
          <w:rStyle w:val="a6"/>
        </w:rPr>
        <w:t xml:space="preserve">. </w:t>
      </w:r>
    </w:p>
    <w:p w:rsidR="002C58A0" w:rsidRDefault="009D5164">
      <w:pPr>
        <w:ind w:firstLine="709"/>
        <w:jc w:val="both"/>
        <w:rPr>
          <w:rStyle w:val="a6"/>
        </w:rPr>
      </w:pPr>
      <w:r>
        <w:rPr>
          <w:rStyle w:val="a6"/>
        </w:rPr>
        <w:t xml:space="preserve">Основными темами круглых столов </w:t>
      </w:r>
      <w:r w:rsidR="00E911FA">
        <w:rPr>
          <w:rStyle w:val="a6"/>
        </w:rPr>
        <w:t>станут</w:t>
      </w:r>
      <w:r>
        <w:rPr>
          <w:rStyle w:val="a6"/>
        </w:rPr>
        <w:t xml:space="preserve">: </w:t>
      </w:r>
    </w:p>
    <w:p w:rsidR="002C58A0" w:rsidRDefault="009D5164">
      <w:pPr>
        <w:ind w:firstLine="709"/>
        <w:jc w:val="both"/>
        <w:rPr>
          <w:rStyle w:val="a6"/>
        </w:rPr>
      </w:pPr>
      <w:r>
        <w:rPr>
          <w:rStyle w:val="a6"/>
        </w:rPr>
        <w:t xml:space="preserve">— инновационное развитие </w:t>
      </w:r>
      <w:r w:rsidR="00992D53">
        <w:rPr>
          <w:rStyle w:val="a6"/>
        </w:rPr>
        <w:t>агропромышленного комплекса</w:t>
      </w:r>
      <w:r>
        <w:rPr>
          <w:rStyle w:val="a6"/>
        </w:rPr>
        <w:t xml:space="preserve"> на горных территориях;</w:t>
      </w:r>
    </w:p>
    <w:p w:rsidR="002C58A0" w:rsidRDefault="009D5164">
      <w:pPr>
        <w:ind w:firstLine="709"/>
        <w:jc w:val="both"/>
        <w:rPr>
          <w:rStyle w:val="a6"/>
        </w:rPr>
      </w:pPr>
      <w:r>
        <w:rPr>
          <w:rStyle w:val="a6"/>
        </w:rPr>
        <w:t xml:space="preserve">— проблемы водопользования и </w:t>
      </w:r>
      <w:proofErr w:type="spellStart"/>
      <w:r>
        <w:rPr>
          <w:rStyle w:val="a6"/>
        </w:rPr>
        <w:t>водообеспечения</w:t>
      </w:r>
      <w:proofErr w:type="spellEnd"/>
      <w:r>
        <w:rPr>
          <w:rStyle w:val="a6"/>
        </w:rPr>
        <w:t>;</w:t>
      </w:r>
    </w:p>
    <w:p w:rsidR="002C58A0" w:rsidRDefault="009D5164">
      <w:pPr>
        <w:ind w:firstLine="709"/>
        <w:jc w:val="both"/>
        <w:rPr>
          <w:rStyle w:val="a6"/>
        </w:rPr>
      </w:pPr>
      <w:r>
        <w:rPr>
          <w:rStyle w:val="a6"/>
        </w:rPr>
        <w:t>— развитие инфраструктуры и энергообеспечение горных территорий;</w:t>
      </w:r>
    </w:p>
    <w:p w:rsidR="002C58A0" w:rsidRDefault="009D5164">
      <w:pPr>
        <w:ind w:firstLine="709"/>
        <w:jc w:val="both"/>
        <w:rPr>
          <w:rStyle w:val="a6"/>
        </w:rPr>
      </w:pPr>
      <w:r>
        <w:rPr>
          <w:rStyle w:val="a6"/>
        </w:rPr>
        <w:t>— охрана окружающей среды и рациональное природопользование;</w:t>
      </w:r>
    </w:p>
    <w:p w:rsidR="002C58A0" w:rsidRDefault="009D5164">
      <w:pPr>
        <w:ind w:firstLine="709"/>
        <w:jc w:val="both"/>
        <w:rPr>
          <w:rStyle w:val="a6"/>
        </w:rPr>
      </w:pPr>
      <w:r>
        <w:rPr>
          <w:rStyle w:val="a6"/>
        </w:rPr>
        <w:t>— стихийно-разрушительные явления в горах;</w:t>
      </w:r>
    </w:p>
    <w:p w:rsidR="002C58A0" w:rsidRDefault="009D5164">
      <w:pPr>
        <w:ind w:firstLine="709"/>
        <w:jc w:val="both"/>
        <w:rPr>
          <w:rStyle w:val="a6"/>
        </w:rPr>
      </w:pPr>
      <w:r>
        <w:rPr>
          <w:rStyle w:val="a6"/>
        </w:rPr>
        <w:t>— организационно-правовые условия обеспечения жизнедеятельности.</w:t>
      </w:r>
    </w:p>
    <w:p w:rsidR="002C58A0" w:rsidRDefault="009D5164">
      <w:pPr>
        <w:ind w:firstLine="709"/>
        <w:jc w:val="both"/>
        <w:rPr>
          <w:rStyle w:val="a6"/>
        </w:rPr>
      </w:pPr>
      <w:r>
        <w:rPr>
          <w:rStyle w:val="a6"/>
        </w:rPr>
        <w:t xml:space="preserve">Ожидаемые </w:t>
      </w:r>
      <w:r w:rsidR="00C25FED">
        <w:rPr>
          <w:rStyle w:val="a6"/>
        </w:rPr>
        <w:t>и</w:t>
      </w:r>
      <w:r>
        <w:rPr>
          <w:rStyle w:val="a6"/>
        </w:rPr>
        <w:t>тоги: предложения по совершенствованию законодательства, направленного на расширение компетенции муниципалитетов, повышение возможностей реализации их потенциала в области социально-экономического развития горных территорий, управления природными ресурсами, экологического образования и просвещения, сохранения культурного наследия.</w:t>
      </w:r>
    </w:p>
    <w:p w:rsidR="00DC4ED4" w:rsidRDefault="00DC4ED4">
      <w:pPr>
        <w:jc w:val="both"/>
        <w:rPr>
          <w:i/>
          <w:iCs/>
          <w:sz w:val="24"/>
          <w:szCs w:val="24"/>
        </w:rPr>
      </w:pPr>
    </w:p>
    <w:p w:rsidR="002C58A0" w:rsidRDefault="00235A99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Контакт в Секретариате Совета МПА СНГ</w:t>
      </w:r>
      <w:r w:rsidR="009D5164">
        <w:rPr>
          <w:i/>
          <w:iCs/>
          <w:sz w:val="24"/>
          <w:szCs w:val="24"/>
        </w:rPr>
        <w:t>: Амбурцева Наталия Игоревна,</w:t>
      </w:r>
    </w:p>
    <w:p w:rsidR="002C58A0" w:rsidRDefault="009D516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тел</w:t>
      </w:r>
      <w:r w:rsidRPr="00DC4ED4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>:</w:t>
      </w:r>
      <w:r w:rsidRPr="00DC4ED4">
        <w:rPr>
          <w:i/>
          <w:iCs/>
          <w:sz w:val="24"/>
          <w:szCs w:val="24"/>
        </w:rPr>
        <w:t xml:space="preserve"> + 7 (</w:t>
      </w:r>
      <w:r w:rsidR="001078D0">
        <w:rPr>
          <w:i/>
          <w:iCs/>
          <w:sz w:val="24"/>
          <w:szCs w:val="24"/>
        </w:rPr>
        <w:t>812</w:t>
      </w:r>
      <w:r w:rsidRPr="00DC4ED4">
        <w:rPr>
          <w:i/>
          <w:iCs/>
          <w:sz w:val="24"/>
          <w:szCs w:val="24"/>
        </w:rPr>
        <w:t xml:space="preserve">) </w:t>
      </w:r>
      <w:r w:rsidR="001078D0">
        <w:rPr>
          <w:i/>
          <w:iCs/>
          <w:sz w:val="24"/>
          <w:szCs w:val="24"/>
        </w:rPr>
        <w:t>404-57-00, доб. 953</w:t>
      </w:r>
      <w:r>
        <w:rPr>
          <w:i/>
          <w:iCs/>
          <w:sz w:val="24"/>
          <w:szCs w:val="24"/>
        </w:rPr>
        <w:t>;</w:t>
      </w:r>
      <w:r w:rsidRPr="00DC4ED4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e</w:t>
      </w:r>
      <w:r w:rsidRPr="00DC4ED4">
        <w:rPr>
          <w:i/>
          <w:iCs/>
          <w:sz w:val="24"/>
          <w:szCs w:val="24"/>
        </w:rPr>
        <w:t>-</w:t>
      </w:r>
      <w:r>
        <w:rPr>
          <w:i/>
          <w:iCs/>
          <w:sz w:val="24"/>
          <w:szCs w:val="24"/>
          <w:lang w:val="en-US"/>
        </w:rPr>
        <w:t>mail</w:t>
      </w:r>
      <w:r w:rsidRPr="00DC4ED4">
        <w:rPr>
          <w:i/>
          <w:iCs/>
          <w:sz w:val="24"/>
          <w:szCs w:val="24"/>
        </w:rPr>
        <w:t xml:space="preserve">: </w:t>
      </w:r>
      <w:proofErr w:type="spellStart"/>
      <w:r w:rsidRPr="005A6267">
        <w:rPr>
          <w:i/>
          <w:iCs/>
          <w:sz w:val="24"/>
          <w:szCs w:val="24"/>
          <w:lang w:val="en-US"/>
        </w:rPr>
        <w:t>ani</w:t>
      </w:r>
      <w:proofErr w:type="spellEnd"/>
      <w:r w:rsidRPr="005A6267">
        <w:rPr>
          <w:i/>
          <w:iCs/>
          <w:sz w:val="24"/>
          <w:szCs w:val="24"/>
        </w:rPr>
        <w:t>@</w:t>
      </w:r>
      <w:proofErr w:type="spellStart"/>
      <w:r w:rsidRPr="005A6267">
        <w:rPr>
          <w:i/>
          <w:iCs/>
          <w:sz w:val="24"/>
          <w:szCs w:val="24"/>
          <w:lang w:val="en-US"/>
        </w:rPr>
        <w:t>iacis</w:t>
      </w:r>
      <w:proofErr w:type="spellEnd"/>
      <w:r w:rsidRPr="005A6267">
        <w:rPr>
          <w:i/>
          <w:iCs/>
          <w:sz w:val="24"/>
          <w:szCs w:val="24"/>
        </w:rPr>
        <w:t>.</w:t>
      </w:r>
      <w:proofErr w:type="spellStart"/>
      <w:r w:rsidRPr="005A6267">
        <w:rPr>
          <w:i/>
          <w:iCs/>
          <w:sz w:val="24"/>
          <w:szCs w:val="24"/>
          <w:lang w:val="en-US"/>
        </w:rPr>
        <w:t>ru</w:t>
      </w:r>
      <w:proofErr w:type="spellEnd"/>
      <w:r w:rsidRPr="005A6267">
        <w:rPr>
          <w:i/>
          <w:iCs/>
          <w:sz w:val="24"/>
          <w:szCs w:val="24"/>
        </w:rPr>
        <w:t>;</w:t>
      </w:r>
      <w:r>
        <w:rPr>
          <w:i/>
          <w:iCs/>
          <w:sz w:val="24"/>
          <w:szCs w:val="24"/>
        </w:rPr>
        <w:t xml:space="preserve"> </w:t>
      </w:r>
      <w:r>
        <w:rPr>
          <w:rStyle w:val="a6"/>
          <w:i/>
          <w:iCs/>
          <w:sz w:val="24"/>
          <w:szCs w:val="24"/>
        </w:rPr>
        <w:t>сайт МПА СНГ: www.iacis.ru.</w:t>
      </w:r>
    </w:p>
    <w:sectPr w:rsidR="002C58A0" w:rsidSect="00DC4ED4">
      <w:headerReference w:type="default" r:id="rId12"/>
      <w:footerReference w:type="default" r:id="rId13"/>
      <w:headerReference w:type="first" r:id="rId14"/>
      <w:pgSz w:w="11900" w:h="16840"/>
      <w:pgMar w:top="567" w:right="709" w:bottom="567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AEC" w:rsidRDefault="009E6AEC">
      <w:r>
        <w:separator/>
      </w:r>
    </w:p>
  </w:endnote>
  <w:endnote w:type="continuationSeparator" w:id="0">
    <w:p w:rsidR="009E6AEC" w:rsidRDefault="009E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8A0" w:rsidRDefault="009D5164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 w:rsidR="00DC4ED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AEC" w:rsidRDefault="009E6AEC">
      <w:r>
        <w:separator/>
      </w:r>
    </w:p>
  </w:footnote>
  <w:footnote w:type="continuationSeparator" w:id="0">
    <w:p w:rsidR="009E6AEC" w:rsidRDefault="009E6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8A0" w:rsidRDefault="009D5164">
    <w:pPr>
      <w:pStyle w:val="a4"/>
    </w:pPr>
    <w:r>
      <w:rPr>
        <w:rStyle w:val="a6"/>
      </w:rPr>
      <w:t xml:space="preserve">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8A0" w:rsidRDefault="009D5164">
    <w:pPr>
      <w:pStyle w:val="a4"/>
      <w:tabs>
        <w:tab w:val="clear" w:pos="4677"/>
      </w:tabs>
      <w:jc w:val="center"/>
    </w:pPr>
    <w:r>
      <w:t xml:space="preserve">                                                    </w:t>
    </w:r>
    <w:r>
      <w:rPr>
        <w:rStyle w:val="a6"/>
      </w:rPr>
      <w:t xml:space="preserve"> </w:t>
    </w:r>
    <w:r>
      <w:rPr>
        <w:noProof/>
      </w:rPr>
      <w:drawing>
        <wp:inline distT="0" distB="0" distL="0" distR="0" wp14:anchorId="2B71BBBE" wp14:editId="453C320D">
          <wp:extent cx="1157605" cy="1157605"/>
          <wp:effectExtent l="0" t="0" r="0" b="0"/>
          <wp:docPr id="1" name="officeArt object" descr="Group 3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Group 320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7669" cy="1157669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rStyle w:val="a6"/>
      </w:rPr>
      <w:t xml:space="preserve">    </w:t>
    </w:r>
    <w:r>
      <w:rPr>
        <w:noProof/>
      </w:rPr>
      <w:drawing>
        <wp:inline distT="0" distB="0" distL="0" distR="0" wp14:anchorId="3159083F" wp14:editId="3F9E2577">
          <wp:extent cx="2468880" cy="605790"/>
          <wp:effectExtent l="0" t="0" r="0" b="0"/>
          <wp:docPr id="2" name="officeArt object" descr="Group 3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 descr="Group 321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69383" cy="606019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rStyle w:val="a6"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noLineBreaksAfter w:lang="zh-CN" w:val="‘“(〔[{〈《「『【⦅〘〖«〝︵︷︹︻︽︿﹁﹃﹇﹙﹛﹝｢"/>
  <w:noLineBreaksBefore w:lang="zh-CN" w:val="’”)〕]}〉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C58A0"/>
    <w:rsid w:val="001078D0"/>
    <w:rsid w:val="00110DBF"/>
    <w:rsid w:val="00144BA1"/>
    <w:rsid w:val="00171D7D"/>
    <w:rsid w:val="00235A99"/>
    <w:rsid w:val="002C05C8"/>
    <w:rsid w:val="002C58A0"/>
    <w:rsid w:val="0047425C"/>
    <w:rsid w:val="005272F9"/>
    <w:rsid w:val="005A6267"/>
    <w:rsid w:val="005D27BA"/>
    <w:rsid w:val="0071035F"/>
    <w:rsid w:val="00992D53"/>
    <w:rsid w:val="009D5164"/>
    <w:rsid w:val="009E6AEC"/>
    <w:rsid w:val="00B16C46"/>
    <w:rsid w:val="00C25FED"/>
    <w:rsid w:val="00C964CB"/>
    <w:rsid w:val="00DC4ED4"/>
    <w:rsid w:val="00E911FA"/>
    <w:rsid w:val="7ED0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Pr>
      <w:rFonts w:cs="Arial Unicode MS"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pPr>
      <w:tabs>
        <w:tab w:val="center" w:pos="4677"/>
        <w:tab w:val="right" w:pos="9355"/>
      </w:tabs>
    </w:pPr>
    <w:rPr>
      <w:rFonts w:eastAsia="Times New Roman"/>
      <w:color w:val="000000"/>
      <w:sz w:val="28"/>
      <w:szCs w:val="28"/>
      <w:u w:color="000000"/>
    </w:r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8"/>
      <w:szCs w:val="28"/>
      <w:u w:color="000000"/>
    </w:rPr>
  </w:style>
  <w:style w:type="character" w:styleId="a5">
    <w:name w:val="Hyperlink"/>
    <w:rPr>
      <w:u w:val="single"/>
    </w:rPr>
  </w:style>
  <w:style w:type="character" w:styleId="a6">
    <w:name w:val="page number"/>
    <w:rPr>
      <w:lang w:val="ru-RU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Колонтитулы"/>
    <w:qFormat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a8">
    <w:name w:val="Balloon Text"/>
    <w:basedOn w:val="a"/>
    <w:link w:val="a9"/>
    <w:rsid w:val="00DC4E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C4ED4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Pr>
      <w:rFonts w:cs="Arial Unicode MS"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pPr>
      <w:tabs>
        <w:tab w:val="center" w:pos="4677"/>
        <w:tab w:val="right" w:pos="9355"/>
      </w:tabs>
    </w:pPr>
    <w:rPr>
      <w:rFonts w:eastAsia="Times New Roman"/>
      <w:color w:val="000000"/>
      <w:sz w:val="28"/>
      <w:szCs w:val="28"/>
      <w:u w:color="000000"/>
    </w:r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8"/>
      <w:szCs w:val="28"/>
      <w:u w:color="000000"/>
    </w:rPr>
  </w:style>
  <w:style w:type="character" w:styleId="a5">
    <w:name w:val="Hyperlink"/>
    <w:rPr>
      <w:u w:val="single"/>
    </w:rPr>
  </w:style>
  <w:style w:type="character" w:styleId="a6">
    <w:name w:val="page number"/>
    <w:rPr>
      <w:lang w:val="ru-RU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Колонтитулы"/>
    <w:qFormat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a8">
    <w:name w:val="Balloon Text"/>
    <w:basedOn w:val="a"/>
    <w:link w:val="a9"/>
    <w:rsid w:val="00DC4E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C4ED4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FominenkoEV</dc:creator>
  <cp:lastModifiedBy>Пантелеева Лидия Александровна</cp:lastModifiedBy>
  <cp:revision>2</cp:revision>
  <cp:lastPrinted>2025-03-03T07:11:00Z</cp:lastPrinted>
  <dcterms:created xsi:type="dcterms:W3CDTF">2025-03-03T07:11:00Z</dcterms:created>
  <dcterms:modified xsi:type="dcterms:W3CDTF">2025-03-03T07:11:00Z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1B1AB6EE16134D95ACF6A7E0DCF592BB</vt:lpwstr>
  </property>
</Properties>
</file>